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B4" w:rsidRPr="00EF14B4" w:rsidRDefault="00EF14B4" w:rsidP="00EF14B4">
      <w:pPr>
        <w:autoSpaceDE w:val="0"/>
        <w:autoSpaceDN w:val="0"/>
        <w:adjustRightInd w:val="0"/>
        <w:spacing w:after="0" w:line="240" w:lineRule="auto"/>
        <w:jc w:val="both"/>
        <w:outlineLvl w:val="0"/>
        <w:rPr>
          <w:rFonts w:ascii="Arial" w:hAnsi="Arial" w:cs="Arial"/>
          <w:color w:val="000000" w:themeColor="text1"/>
          <w:sz w:val="20"/>
          <w:szCs w:val="20"/>
        </w:rPr>
      </w:pPr>
      <w:bookmarkStart w:id="0" w:name="_GoBack"/>
      <w:bookmarkEnd w:id="0"/>
    </w:p>
    <w:p w:rsidR="00EF14B4" w:rsidRPr="00EF14B4" w:rsidRDefault="00EF14B4" w:rsidP="00EF14B4">
      <w:pPr>
        <w:autoSpaceDE w:val="0"/>
        <w:autoSpaceDN w:val="0"/>
        <w:adjustRightInd w:val="0"/>
        <w:spacing w:after="0" w:line="240" w:lineRule="auto"/>
        <w:jc w:val="right"/>
        <w:outlineLvl w:val="0"/>
        <w:rPr>
          <w:rFonts w:ascii="Arial" w:hAnsi="Arial" w:cs="Arial"/>
          <w:color w:val="000000" w:themeColor="text1"/>
          <w:sz w:val="20"/>
          <w:szCs w:val="20"/>
        </w:rPr>
      </w:pPr>
      <w:r w:rsidRPr="00EF14B4">
        <w:rPr>
          <w:rFonts w:ascii="Arial" w:hAnsi="Arial" w:cs="Arial"/>
          <w:color w:val="000000" w:themeColor="text1"/>
          <w:sz w:val="20"/>
          <w:szCs w:val="20"/>
        </w:rPr>
        <w:t>Приложение N 2</w:t>
      </w:r>
    </w:p>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p>
    <w:p w:rsidR="00EF14B4" w:rsidRPr="00EF14B4" w:rsidRDefault="00EF14B4" w:rsidP="00EF14B4">
      <w:pPr>
        <w:autoSpaceDE w:val="0"/>
        <w:autoSpaceDN w:val="0"/>
        <w:adjustRightInd w:val="0"/>
        <w:spacing w:after="0" w:line="240" w:lineRule="auto"/>
        <w:jc w:val="right"/>
        <w:rPr>
          <w:rFonts w:ascii="Arial" w:hAnsi="Arial" w:cs="Arial"/>
          <w:color w:val="000000" w:themeColor="text1"/>
          <w:sz w:val="20"/>
          <w:szCs w:val="20"/>
        </w:rPr>
      </w:pPr>
      <w:r w:rsidRPr="00EF14B4">
        <w:rPr>
          <w:rFonts w:ascii="Arial" w:hAnsi="Arial" w:cs="Arial"/>
          <w:color w:val="000000" w:themeColor="text1"/>
          <w:sz w:val="20"/>
          <w:szCs w:val="20"/>
        </w:rPr>
        <w:t>Утверждены</w:t>
      </w:r>
    </w:p>
    <w:p w:rsidR="00EF14B4" w:rsidRPr="00EF14B4" w:rsidRDefault="00EF14B4" w:rsidP="00EF14B4">
      <w:pPr>
        <w:autoSpaceDE w:val="0"/>
        <w:autoSpaceDN w:val="0"/>
        <w:adjustRightInd w:val="0"/>
        <w:spacing w:after="0" w:line="240" w:lineRule="auto"/>
        <w:jc w:val="right"/>
        <w:rPr>
          <w:rFonts w:ascii="Arial" w:hAnsi="Arial" w:cs="Arial"/>
          <w:color w:val="000000" w:themeColor="text1"/>
          <w:sz w:val="20"/>
          <w:szCs w:val="20"/>
        </w:rPr>
      </w:pPr>
      <w:r w:rsidRPr="00EF14B4">
        <w:rPr>
          <w:rFonts w:ascii="Arial" w:hAnsi="Arial" w:cs="Arial"/>
          <w:color w:val="000000" w:themeColor="text1"/>
          <w:sz w:val="20"/>
          <w:szCs w:val="20"/>
        </w:rPr>
        <w:t>приказом ФНС России</w:t>
      </w:r>
    </w:p>
    <w:p w:rsidR="00EF14B4" w:rsidRPr="00EF14B4" w:rsidRDefault="00EF14B4" w:rsidP="00EF14B4">
      <w:pPr>
        <w:autoSpaceDE w:val="0"/>
        <w:autoSpaceDN w:val="0"/>
        <w:adjustRightInd w:val="0"/>
        <w:spacing w:after="0" w:line="240" w:lineRule="auto"/>
        <w:jc w:val="right"/>
        <w:rPr>
          <w:rFonts w:ascii="Arial" w:hAnsi="Arial" w:cs="Arial"/>
          <w:color w:val="000000" w:themeColor="text1"/>
          <w:sz w:val="20"/>
          <w:szCs w:val="20"/>
        </w:rPr>
      </w:pPr>
      <w:r w:rsidRPr="00EF14B4">
        <w:rPr>
          <w:rFonts w:ascii="Arial" w:hAnsi="Arial" w:cs="Arial"/>
          <w:color w:val="000000" w:themeColor="text1"/>
          <w:sz w:val="20"/>
          <w:szCs w:val="20"/>
        </w:rPr>
        <w:t>от 10.09.2015 N ММВ-7-11/387@</w:t>
      </w:r>
    </w:p>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p>
    <w:p w:rsidR="00EF14B4" w:rsidRPr="00EF14B4" w:rsidRDefault="00EF14B4" w:rsidP="00EF14B4">
      <w:pPr>
        <w:autoSpaceDE w:val="0"/>
        <w:autoSpaceDN w:val="0"/>
        <w:adjustRightInd w:val="0"/>
        <w:spacing w:after="0" w:line="240" w:lineRule="auto"/>
        <w:jc w:val="center"/>
        <w:outlineLvl w:val="1"/>
        <w:rPr>
          <w:rFonts w:ascii="Arial" w:hAnsi="Arial" w:cs="Arial"/>
          <w:b/>
          <w:bCs/>
          <w:color w:val="000000" w:themeColor="text1"/>
          <w:sz w:val="20"/>
          <w:szCs w:val="20"/>
        </w:rPr>
      </w:pPr>
      <w:r w:rsidRPr="00EF14B4">
        <w:rPr>
          <w:rFonts w:ascii="Arial" w:hAnsi="Arial" w:cs="Arial"/>
          <w:b/>
          <w:bCs/>
          <w:color w:val="000000" w:themeColor="text1"/>
          <w:sz w:val="20"/>
          <w:szCs w:val="20"/>
        </w:rPr>
        <w:t>КОДЫ ВИДОВ ВЫЧЕТОВ НАЛОГОПЛАТЕЛЬЩИКА</w:t>
      </w:r>
    </w:p>
    <w:p w:rsidR="00EF14B4" w:rsidRPr="00EF14B4" w:rsidRDefault="00EF14B4" w:rsidP="00EF14B4">
      <w:pPr>
        <w:autoSpaceDE w:val="0"/>
        <w:autoSpaceDN w:val="0"/>
        <w:adjustRightInd w:val="0"/>
        <w:spacing w:after="0" w:line="240" w:lineRule="auto"/>
        <w:rPr>
          <w:rFonts w:ascii="Arial" w:hAnsi="Arial" w:cs="Arial"/>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F14B4" w:rsidRPr="00EF14B4">
        <w:trPr>
          <w:jc w:val="center"/>
        </w:trPr>
        <w:tc>
          <w:tcPr>
            <w:tcW w:w="10147" w:type="dxa"/>
            <w:tcBorders>
              <w:left w:val="single" w:sz="24" w:space="0" w:color="CED3F1"/>
              <w:right w:val="single" w:sz="24" w:space="0" w:color="F4F3F8"/>
            </w:tcBorders>
            <w:shd w:val="clear" w:color="auto" w:fill="F4F3F8"/>
          </w:tcPr>
          <w:p w:rsidR="00EF14B4" w:rsidRPr="00EF14B4" w:rsidRDefault="00EF14B4" w:rsidP="00EF14B4">
            <w:pPr>
              <w:autoSpaceDE w:val="0"/>
              <w:autoSpaceDN w:val="0"/>
              <w:adjustRightInd w:val="0"/>
              <w:spacing w:after="0" w:line="240" w:lineRule="auto"/>
              <w:jc w:val="center"/>
              <w:rPr>
                <w:rFonts w:ascii="Arial" w:hAnsi="Arial" w:cs="Arial"/>
                <w:color w:val="000000" w:themeColor="text1"/>
                <w:sz w:val="20"/>
                <w:szCs w:val="20"/>
              </w:rPr>
            </w:pPr>
            <w:r w:rsidRPr="00EF14B4">
              <w:rPr>
                <w:rFonts w:ascii="Arial" w:hAnsi="Arial" w:cs="Arial"/>
                <w:color w:val="000000" w:themeColor="text1"/>
                <w:sz w:val="20"/>
                <w:szCs w:val="20"/>
              </w:rPr>
              <w:t>Список изменяющих документов</w:t>
            </w:r>
          </w:p>
          <w:p w:rsidR="00EF14B4" w:rsidRPr="00EF14B4" w:rsidRDefault="00EF14B4" w:rsidP="00EF14B4">
            <w:pPr>
              <w:autoSpaceDE w:val="0"/>
              <w:autoSpaceDN w:val="0"/>
              <w:adjustRightInd w:val="0"/>
              <w:spacing w:after="0" w:line="240" w:lineRule="auto"/>
              <w:jc w:val="center"/>
              <w:rPr>
                <w:rFonts w:ascii="Arial" w:hAnsi="Arial" w:cs="Arial"/>
                <w:color w:val="000000" w:themeColor="text1"/>
                <w:sz w:val="20"/>
                <w:szCs w:val="20"/>
              </w:rPr>
            </w:pPr>
            <w:r w:rsidRPr="00EF14B4">
              <w:rPr>
                <w:rFonts w:ascii="Arial" w:hAnsi="Arial" w:cs="Arial"/>
                <w:color w:val="000000" w:themeColor="text1"/>
                <w:sz w:val="20"/>
                <w:szCs w:val="20"/>
              </w:rPr>
              <w:t>(в ред. Приказов ФНС России от 22.11.2016 N ММВ-7-11/633@,</w:t>
            </w:r>
          </w:p>
          <w:p w:rsidR="00EF14B4" w:rsidRPr="00EF14B4" w:rsidRDefault="00EF14B4" w:rsidP="00EF14B4">
            <w:pPr>
              <w:autoSpaceDE w:val="0"/>
              <w:autoSpaceDN w:val="0"/>
              <w:adjustRightInd w:val="0"/>
              <w:spacing w:after="0" w:line="240" w:lineRule="auto"/>
              <w:jc w:val="center"/>
              <w:rPr>
                <w:rFonts w:ascii="Arial" w:hAnsi="Arial" w:cs="Arial"/>
                <w:color w:val="000000" w:themeColor="text1"/>
                <w:sz w:val="20"/>
                <w:szCs w:val="20"/>
              </w:rPr>
            </w:pPr>
            <w:r w:rsidRPr="00EF14B4">
              <w:rPr>
                <w:rFonts w:ascii="Arial" w:hAnsi="Arial" w:cs="Arial"/>
                <w:color w:val="000000" w:themeColor="text1"/>
                <w:sz w:val="20"/>
                <w:szCs w:val="20"/>
              </w:rPr>
              <w:t>от 24.10.2017 N ММВ-7-11/820@)</w:t>
            </w:r>
          </w:p>
        </w:tc>
      </w:tr>
    </w:tbl>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86"/>
        <w:gridCol w:w="8414"/>
      </w:tblGrid>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center"/>
              <w:rPr>
                <w:rFonts w:ascii="Arial" w:hAnsi="Arial" w:cs="Arial"/>
                <w:color w:val="000000" w:themeColor="text1"/>
                <w:sz w:val="20"/>
                <w:szCs w:val="20"/>
              </w:rPr>
            </w:pPr>
            <w:r w:rsidRPr="00EF14B4">
              <w:rPr>
                <w:rFonts w:ascii="Arial" w:hAnsi="Arial" w:cs="Arial"/>
                <w:color w:val="000000" w:themeColor="text1"/>
                <w:sz w:val="20"/>
                <w:szCs w:val="20"/>
              </w:rPr>
              <w:t>Код вычета</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center"/>
              <w:rPr>
                <w:rFonts w:ascii="Arial" w:hAnsi="Arial" w:cs="Arial"/>
                <w:color w:val="000000" w:themeColor="text1"/>
                <w:sz w:val="20"/>
                <w:szCs w:val="20"/>
              </w:rPr>
            </w:pPr>
            <w:r w:rsidRPr="00EF14B4">
              <w:rPr>
                <w:rFonts w:ascii="Arial" w:hAnsi="Arial" w:cs="Arial"/>
                <w:color w:val="000000" w:themeColor="text1"/>
                <w:sz w:val="20"/>
                <w:szCs w:val="20"/>
              </w:rPr>
              <w:t>Наименование вычета</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Стандартные налоговые вычеты, предусмотренные статьей 218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104</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500 рублей на налогоплательщика, относящегося к категориям, перечисленным в подпункте 2 пункта 1 статьи 218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105</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3000 рублей на налогоплательщика, относящегося к категориям, перечисленным в подпункте 1 пункта 1 статьи 218 Налогового кодекса Российской Федерации</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114 - 125</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Исключены. - Приказ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126</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127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128</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129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lastRenderedPageBreak/>
              <w:t>131</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132</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133</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опекуну, попечителю, приемному родителю, супруге (супругу) приемного родителя, на обеспечении которых находится ребенок</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134</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135</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136</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138</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139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третьего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родителю, усыновителю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141</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 xml:space="preserve">В двойном размере на ребенка-инвалида в возрасте до 18 лет или учащегося очной </w:t>
            </w:r>
            <w:r w:rsidRPr="00EF14B4">
              <w:rPr>
                <w:rFonts w:ascii="Arial" w:hAnsi="Arial" w:cs="Arial"/>
                <w:color w:val="000000" w:themeColor="text1"/>
                <w:sz w:val="20"/>
                <w:szCs w:val="20"/>
              </w:rPr>
              <w:lastRenderedPageBreak/>
              <w:t>формы обучения, аспиранта, ординатора, интерна, студента в возрасте до 24 лет, являющегося инвалидом I или II группы единственному опекуну, попечителю, приемному родителю</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lastRenderedPageBreak/>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142</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143</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144</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145</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146</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148</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родителей по их выбору на основании заявления об отказе одного из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149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приемных родителей по их выбору на основании заявления об отказе одного из приемных родителей от получения налогового вычета</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lastRenderedPageBreak/>
              <w:t>Суммы, уменьшающие налоговую базу в соответствии со статьей 214.1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201</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ценными бумагами, обращающимися на организованном рынке ценных бумаг</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202</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ценными бумагами, не обращающимися на организованном рынке ценных бумаг</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203</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205</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ред. Приказа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206</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ред. Приказа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ред. Приказа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208</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уменьшающая налоговую базу по операциям с ценными бумагами, обращающимися на организованном рынке ценных бумаг</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209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ред. Приказа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производными финансовыми инструментами, обращающимися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lastRenderedPageBreak/>
              <w:t>(в ред. Приказа ФНС России от 22.11.2016 N ММВ-7-11/633@)</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Суммы, уменьшающие налоговую базу в соответствии со статьей 214.3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211</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в виде процентов по займу, произведенные по совокупности операций РЕПО</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213</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Суммы, уменьшающие налоговую базу в соответствии со статьей 214.4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215</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в виде процентов, уплаченных в налоговом периоде по совокупности договоров займа</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216</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учетом положений абзаца шестого пункта 5 статьи 214</w:t>
            </w:r>
            <w:r w:rsidRPr="00EF14B4">
              <w:rPr>
                <w:rFonts w:ascii="Arial" w:hAnsi="Arial" w:cs="Arial"/>
                <w:color w:val="000000" w:themeColor="text1"/>
                <w:sz w:val="20"/>
                <w:szCs w:val="20"/>
                <w:vertAlign w:val="superscript"/>
              </w:rPr>
              <w:t>4</w:t>
            </w:r>
            <w:r w:rsidRPr="00EF14B4">
              <w:rPr>
                <w:rFonts w:ascii="Arial" w:hAnsi="Arial" w:cs="Arial"/>
                <w:color w:val="000000" w:themeColor="text1"/>
                <w:sz w:val="20"/>
                <w:szCs w:val="20"/>
              </w:rPr>
              <w:t xml:space="preserve">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217</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218</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219</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расхода по операциям с производными финансовыми инструментами, не обращающимися на организованном рынке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 ред. Приказа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221</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Исключено. - Приказ ФНС России от 22.11.2016 N ММВ-7-11/633@</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222</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223</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224</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 xml:space="preserve">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w:t>
            </w:r>
            <w:r w:rsidRPr="00EF14B4">
              <w:rPr>
                <w:rFonts w:ascii="Arial" w:hAnsi="Arial" w:cs="Arial"/>
                <w:color w:val="000000" w:themeColor="text1"/>
                <w:sz w:val="20"/>
                <w:szCs w:val="20"/>
              </w:rPr>
              <w:lastRenderedPageBreak/>
              <w:t>бумагам, обращающимся на организованном рынке ценных бумаг</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lastRenderedPageBreak/>
              <w:t>225</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226</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228</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229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в виде процентов по займу, произведенные по совокупности операций РЕПО, учитываемых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231</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232</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Расходы в виде процентов, уплаченных в налоговом периоде по совокупности договоров займа, учитываемых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233</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234</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lastRenderedPageBreak/>
              <w:t>235</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Суммы расходов по операциям с производными финансовыми инструментами, не обращающимися на организованном рынке,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236</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уменьшающая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учитываемая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238</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239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240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241</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уменьшающего налоговую базу по операциям с производными финансовыми инструментами, которые обращаются на организованном рынке ценных бумаг, учитываемые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lastRenderedPageBreak/>
              <w:t>(введено Приказом ФНС России от 22.11.2016 N ММВ-7-11/633@)</w:t>
            </w:r>
          </w:p>
        </w:tc>
      </w:tr>
      <w:tr w:rsidR="00EF14B4" w:rsidRPr="00EF14B4">
        <w:tc>
          <w:tcPr>
            <w:tcW w:w="9600" w:type="dxa"/>
            <w:gridSpan w:val="2"/>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Суммы, уменьшающие налоговую базу в соответствии со статьей 214.9 Налогового кодекса Российской Федерации</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250</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251</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после уменьшения финансового результата по операциям с производными финансовыми инструментами, обращающимися на организованном рынке, уменьшающая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252</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22.11.2016 N ММВ-7-11/633@)</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Имущественные налоговые вычеты, предусмотренные статьей 220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311</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израсходованная налогоплательщиком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312</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направленная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sidRPr="00EF14B4">
              <w:rPr>
                <w:rFonts w:ascii="Arial" w:hAnsi="Arial" w:cs="Arial"/>
                <w:color w:val="000000" w:themeColor="text1"/>
                <w:sz w:val="20"/>
                <w:szCs w:val="20"/>
              </w:rPr>
              <w:t>перекредитования</w:t>
            </w:r>
            <w:proofErr w:type="spellEnd"/>
            <w:r w:rsidRPr="00EF14B4">
              <w:rPr>
                <w:rFonts w:ascii="Arial" w:hAnsi="Arial" w:cs="Arial"/>
                <w:color w:val="000000" w:themeColor="text1"/>
                <w:sz w:val="20"/>
                <w:szCs w:val="20"/>
              </w:rPr>
              <w:t>) кредитов на новое строительство либо приобретение на территории Российской Федерации указанных объектов</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lastRenderedPageBreak/>
              <w:t>Социальные налоговые вычеты, предусмотренные подпунктом 2 пункта 1 статьи 219 Налогового кодекса Российской Федерации &lt;1&gt;</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320</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уплаченная налогоплательщиком в налоговом периоде за свое обучение в образовательных учреждениях, за обучение брата (сестры) в возрасте до 24 лет по очной форме обучения в образовательных учреждениях - в размере фактически произведенных расходов на обучение с учетом ограничения, установленного пунктом 2 статьи 219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321</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уплаченная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налогоплательщиком, осуществляющим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налогоплательщиком обучения граждан в возрасте до 24 лет по очной форме обучения в образовательных учреждениях - в размере фактически произведенных расходов на обучение, но с учетом ограничения, установленного подпунктом 2 пункта 1 статьи 219 Налогового кодекса Российской Федерации</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Социальные налоговые вычеты, предусмотренные подпунктом 3 пункта 1 статьи 219 Налогового кодекса Российской Федерации &lt;1&gt;</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324</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уплаченная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&lt;2&gt;,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&lt;2&gt;, назначенных им лечащим врачом и приобретаемых налогоплательщиком за счет собственных средств - в размере фактически произведенных расходов, но с учетом ограничения, установленного пунктом 2 статьи 219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325</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 в размере фактически произведенных расходов, но с учетом ограничения, установленного пунктом 2 статьи 219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326</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расходов по дорогостоящему лечению в медицинских организациях, у индивидуальных предпринимателей, осуществляющих медицинскую деятельность, - в размере фактически произведенных расходов</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Социальные налоговые вычеты, предусмотренные подпунктом 4 пункта 1 статьи 219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327</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 xml:space="preserve">Сумма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&lt;3&gt; (супругов, родителей и детей, в том числе усыновителей и усыновленных, дедушки, бабушки и внуков, полнородных и </w:t>
            </w:r>
            <w:proofErr w:type="spellStart"/>
            <w:r w:rsidRPr="00EF14B4">
              <w:rPr>
                <w:rFonts w:ascii="Arial" w:hAnsi="Arial" w:cs="Arial"/>
                <w:color w:val="000000" w:themeColor="text1"/>
                <w:sz w:val="20"/>
                <w:szCs w:val="20"/>
              </w:rPr>
              <w:t>неполнородных</w:t>
            </w:r>
            <w:proofErr w:type="spellEnd"/>
            <w:r w:rsidRPr="00EF14B4">
              <w:rPr>
                <w:rFonts w:ascii="Arial" w:hAnsi="Arial" w:cs="Arial"/>
                <w:color w:val="000000" w:themeColor="text1"/>
                <w:sz w:val="20"/>
                <w:szCs w:val="20"/>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w:t>
            </w:r>
            <w:r w:rsidRPr="00EF14B4">
              <w:rPr>
                <w:rFonts w:ascii="Arial" w:hAnsi="Arial" w:cs="Arial"/>
                <w:color w:val="000000" w:themeColor="text1"/>
                <w:sz w:val="20"/>
                <w:szCs w:val="20"/>
              </w:rPr>
              <w:lastRenderedPageBreak/>
              <w:t>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пунктом 2 статьи 219 Налогового кодекса Российской Федерации</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lastRenderedPageBreak/>
              <w:t>Социальные налоговые вычеты, предусмотренные подпунктом 5 пункта 1 статьи 219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328</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&lt;4&gt; - в размере фактически произведенных расходов с учетом ограничения, установленного пунктом 2 статьи 219 Налогового кодекса Российской Федерации</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Профессиональные налоговые вычеты, предусмотренные статьей 221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403</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фактически произведенных и документально подтвержденных расходов, непосредственно связанных с выполнением работ (оказанием услуг) по договорам гражданско-правового характера</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404</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фактически произведенных и документально подтвержденных расходов, связанных с получением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405</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в пределах нормативов затрат, связанных с получением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(в процентах к сумме начисленного дохода)</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Вычеты в размерах, предусмотренных статьей 217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501</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стоимости подарков, полученных от организаций и индивидуальных предпринимателей</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502</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Вычет из стоимости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503</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504</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суммы возмещения (оплаты)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505</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стоимости выигрышей и призов, полученных на конкурсах, играх и других мероприятиях в целях рекламы товаров (работ, услуг)</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lastRenderedPageBreak/>
              <w:t>506</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суммы материальной помощи, оказываемой инвалидам общественными организациями инвалидов</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507</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суммы помощи (в денежной и натуральной формах), а также стоимости подарков, 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508</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509</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из суммы доходов, полученных работниками в натуральной форме в качестве оплаты труда от организаций сельскохозяйственных товаропроизводителей, определяемых в соответствии с пунктом 2 статьи 346.2 Налогового кодекса Российской Федерации,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 &lt;5&gt;</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510</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в сумме уплаченных работодателем страховых взносов за работника в соответствии с Федеральным законом 30.04.2008 N 56-ФЗ "О дополнительных страховых взносах на накопительную пенсию и государственной поддержке формирования пенсионных накоплений" &lt;4&gt;, но не более 12000 рублей в год</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Суммы, уменьшающие налоговую базу в соответствии со статьей 214 Налогового кодекса Российской Федерации</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601</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Сумма, уменьшающая налоговую базу по доходам в виде дивидендов</w:t>
            </w:r>
          </w:p>
        </w:tc>
      </w:tr>
      <w:tr w:rsidR="00EF14B4" w:rsidRPr="00EF14B4">
        <w:tc>
          <w:tcPr>
            <w:tcW w:w="9600" w:type="dxa"/>
            <w:gridSpan w:val="2"/>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outlineLvl w:val="1"/>
              <w:rPr>
                <w:rFonts w:ascii="Arial" w:hAnsi="Arial" w:cs="Arial"/>
                <w:color w:val="000000" w:themeColor="text1"/>
                <w:sz w:val="20"/>
                <w:szCs w:val="20"/>
              </w:rPr>
            </w:pPr>
            <w:r w:rsidRPr="00EF14B4">
              <w:rPr>
                <w:rFonts w:ascii="Arial" w:hAnsi="Arial" w:cs="Arial"/>
                <w:color w:val="000000" w:themeColor="text1"/>
                <w:sz w:val="20"/>
                <w:szCs w:val="20"/>
              </w:rPr>
              <w:t>Инвестиционные налоговые вычеты, предусмотренные статьей 219.1 Налогового кодекса Российской Федерации</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617</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Исключено. - Приказ ФНС России от 22.11.2016 N ММВ-7-11/633@</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618</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в сумме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подпунктах 1 и 2 пункта 3 статьи 214.1 Налогового кодекса Российской Федерации и находившихся в собственности налогоплательщика более трех лет</w:t>
            </w:r>
          </w:p>
        </w:tc>
      </w:tr>
      <w:tr w:rsidR="00EF14B4" w:rsidRPr="00EF14B4">
        <w:tc>
          <w:tcPr>
            <w:tcW w:w="1186"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619</w:t>
            </w:r>
          </w:p>
        </w:tc>
        <w:tc>
          <w:tcPr>
            <w:tcW w:w="8414" w:type="dxa"/>
            <w:tcBorders>
              <w:top w:val="single" w:sz="4" w:space="0" w:color="auto"/>
              <w:left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Вычет в сумме положительного финансового результата, полученного по операциям, учитываемым на индивидуальном инвестиционном счете</w:t>
            </w:r>
          </w:p>
        </w:tc>
      </w:tr>
      <w:tr w:rsidR="00EF14B4" w:rsidRPr="00EF14B4">
        <w:tc>
          <w:tcPr>
            <w:tcW w:w="9600" w:type="dxa"/>
            <w:gridSpan w:val="2"/>
            <w:tcBorders>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(введено Приказом ФНС России от 24.10.2017 N ММВ-7-11/820@)</w:t>
            </w:r>
          </w:p>
        </w:tc>
      </w:tr>
      <w:tr w:rsidR="00EF14B4" w:rsidRPr="00EF14B4">
        <w:tc>
          <w:tcPr>
            <w:tcW w:w="1186"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rPr>
                <w:rFonts w:ascii="Arial" w:hAnsi="Arial" w:cs="Arial"/>
                <w:color w:val="000000" w:themeColor="text1"/>
                <w:sz w:val="20"/>
                <w:szCs w:val="20"/>
              </w:rPr>
            </w:pPr>
            <w:r w:rsidRPr="00EF14B4">
              <w:rPr>
                <w:rFonts w:ascii="Arial" w:hAnsi="Arial" w:cs="Arial"/>
                <w:color w:val="000000" w:themeColor="text1"/>
                <w:sz w:val="20"/>
                <w:szCs w:val="20"/>
              </w:rPr>
              <w:t>620</w:t>
            </w:r>
          </w:p>
        </w:tc>
        <w:tc>
          <w:tcPr>
            <w:tcW w:w="8414" w:type="dxa"/>
            <w:tcBorders>
              <w:top w:val="single" w:sz="4" w:space="0" w:color="auto"/>
              <w:left w:val="single" w:sz="4" w:space="0" w:color="auto"/>
              <w:bottom w:val="single" w:sz="4" w:space="0" w:color="auto"/>
              <w:right w:val="single" w:sz="4" w:space="0" w:color="auto"/>
            </w:tcBorders>
          </w:tcPr>
          <w:p w:rsidR="00EF14B4" w:rsidRPr="00EF14B4" w:rsidRDefault="00EF14B4" w:rsidP="00EF14B4">
            <w:pPr>
              <w:autoSpaceDE w:val="0"/>
              <w:autoSpaceDN w:val="0"/>
              <w:adjustRightInd w:val="0"/>
              <w:spacing w:after="0" w:line="240" w:lineRule="auto"/>
              <w:jc w:val="both"/>
              <w:rPr>
                <w:rFonts w:ascii="Arial" w:hAnsi="Arial" w:cs="Arial"/>
                <w:color w:val="000000" w:themeColor="text1"/>
                <w:sz w:val="20"/>
                <w:szCs w:val="20"/>
              </w:rPr>
            </w:pPr>
            <w:r w:rsidRPr="00EF14B4">
              <w:rPr>
                <w:rFonts w:ascii="Arial" w:hAnsi="Arial" w:cs="Arial"/>
                <w:color w:val="000000" w:themeColor="text1"/>
                <w:sz w:val="20"/>
                <w:szCs w:val="20"/>
              </w:rPr>
              <w:t>Иные суммы, уменьшающие налоговую базу в соответствии с положениями главы 23 "Налог на доходы физических лиц" части второй Налогового кодекса Российской Федерации</w:t>
            </w:r>
          </w:p>
        </w:tc>
      </w:tr>
    </w:tbl>
    <w:p w:rsidR="007A3CB2" w:rsidRPr="00EF14B4" w:rsidRDefault="007A3CB2">
      <w:pPr>
        <w:rPr>
          <w:color w:val="000000" w:themeColor="text1"/>
        </w:rPr>
      </w:pPr>
    </w:p>
    <w:sectPr w:rsidR="007A3CB2" w:rsidRPr="00EF14B4" w:rsidSect="007A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B4"/>
    <w:rsid w:val="007A3CB2"/>
    <w:rsid w:val="00DC23DB"/>
    <w:rsid w:val="00EF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9C811-200A-46B6-A165-7A55F974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Печиева</dc:creator>
  <cp:keywords/>
  <dc:description/>
  <cp:lastModifiedBy>Балдин Василий Игоревич</cp:lastModifiedBy>
  <cp:revision>2</cp:revision>
  <dcterms:created xsi:type="dcterms:W3CDTF">2017-12-29T11:36:00Z</dcterms:created>
  <dcterms:modified xsi:type="dcterms:W3CDTF">2017-12-29T11:36:00Z</dcterms:modified>
</cp:coreProperties>
</file>